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9A0220" w:rsidRDefault="006761B6" w:rsidP="00CA1E6E">
      <w:pPr>
        <w:pStyle w:val="BasicParagraph"/>
        <w:spacing w:before="120" w:after="160" w:line="240" w:lineRule="auto"/>
        <w:ind w:left="567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color w:val="auto"/>
          <w:spacing w:val="7"/>
          <w:lang w:val="hu-HU"/>
        </w:rPr>
        <w:t xml:space="preserve">   </w:t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CA1E6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E42A4" w:rsidRDefault="00FE42A4" w:rsidP="00CA1E6E">
      <w:pPr>
        <w:ind w:left="567"/>
      </w:pPr>
    </w:p>
    <w:p w:rsidR="008E2138" w:rsidRDefault="008E2138" w:rsidP="00CA1E6E">
      <w:pPr>
        <w:ind w:left="567"/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496168">
        <w:rPr>
          <w:rFonts w:ascii="Arial" w:hAnsi="Arial" w:cs="Arial"/>
          <w:sz w:val="24"/>
          <w:szCs w:val="24"/>
        </w:rPr>
        <w:t>5947-</w:t>
      </w:r>
      <w:r w:rsidR="005151BC">
        <w:rPr>
          <w:rFonts w:ascii="Arial" w:hAnsi="Arial" w:cs="Arial"/>
          <w:sz w:val="24"/>
          <w:szCs w:val="24"/>
        </w:rPr>
        <w:t>3</w:t>
      </w:r>
      <w:r w:rsidR="00C12E4E">
        <w:rPr>
          <w:rFonts w:ascii="Arial" w:hAnsi="Arial" w:cs="Arial"/>
          <w:sz w:val="24"/>
          <w:szCs w:val="24"/>
        </w:rPr>
        <w:t>/20</w:t>
      </w:r>
      <w:r w:rsidR="006604E9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CA1E6E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C12E4E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C6EBA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DE4356">
        <w:rPr>
          <w:rFonts w:ascii="Arial" w:hAnsi="Arial" w:cs="Arial"/>
          <w:b/>
          <w:sz w:val="24"/>
          <w:szCs w:val="24"/>
        </w:rPr>
        <w:t>június 29</w:t>
      </w:r>
      <w:bookmarkStart w:id="0" w:name="_GoBack"/>
      <w:bookmarkEnd w:id="0"/>
      <w:r w:rsidR="00E672F3">
        <w:rPr>
          <w:rFonts w:ascii="Arial" w:hAnsi="Arial" w:cs="Arial"/>
          <w:b/>
          <w:sz w:val="24"/>
          <w:szCs w:val="24"/>
        </w:rPr>
        <w:t>-ei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496168">
        <w:rPr>
          <w:rFonts w:ascii="Arial" w:hAnsi="Arial" w:cs="Arial"/>
          <w:sz w:val="24"/>
          <w:szCs w:val="24"/>
        </w:rPr>
        <w:t>Polgár Zsolt és társai</w:t>
      </w:r>
      <w:r w:rsidR="00E672F3">
        <w:rPr>
          <w:rFonts w:ascii="Arial" w:hAnsi="Arial" w:cs="Arial"/>
          <w:sz w:val="24"/>
          <w:szCs w:val="24"/>
        </w:rPr>
        <w:t xml:space="preserve"> kérelme út kijelöléssel érintett ingatlana megvásárlására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423E6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6B0E68" w:rsidRPr="00AC69D2" w:rsidRDefault="006B0E6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CA1E6E">
      <w:pPr>
        <w:tabs>
          <w:tab w:val="center" w:pos="7797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C610AA" w:rsidRDefault="00C610AA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</w:pPr>
    </w:p>
    <w:p w:rsidR="008E213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0E4F71" w:rsidRDefault="000E4F71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:rsidR="000E4F71" w:rsidRDefault="000E4F71" w:rsidP="00CA1E6E">
      <w:pPr>
        <w:pStyle w:val="Szvegtrzs3"/>
        <w:shd w:val="clear" w:color="auto" w:fill="auto"/>
        <w:spacing w:line="276" w:lineRule="auto"/>
        <w:ind w:left="567" w:right="-426" w:firstLine="0"/>
        <w:jc w:val="both"/>
        <w:rPr>
          <w:sz w:val="22"/>
          <w:szCs w:val="22"/>
        </w:rPr>
      </w:pPr>
    </w:p>
    <w:p w:rsidR="00AC69D2" w:rsidRPr="00161756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404F27" w:rsidRDefault="00404F27" w:rsidP="00CA1E6E">
      <w:pPr>
        <w:spacing w:after="0"/>
        <w:ind w:left="567"/>
        <w:jc w:val="both"/>
        <w:rPr>
          <w:rFonts w:ascii="Arial" w:eastAsia="Arial" w:hAnsi="Arial" w:cs="Arial"/>
        </w:rPr>
      </w:pPr>
    </w:p>
    <w:p w:rsidR="00DC02DD" w:rsidRDefault="00496168" w:rsidP="00DC02DD">
      <w:pPr>
        <w:spacing w:after="0"/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Polgár Zsolt</w:t>
      </w:r>
      <w:r w:rsidR="00F355CD" w:rsidRPr="00950A54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Polgárné </w:t>
      </w:r>
      <w:proofErr w:type="spellStart"/>
      <w:r>
        <w:rPr>
          <w:rFonts w:ascii="Arial" w:hAnsi="Arial" w:cs="Arial"/>
          <w:iCs/>
        </w:rPr>
        <w:t>Fitus</w:t>
      </w:r>
      <w:proofErr w:type="spellEnd"/>
      <w:r>
        <w:rPr>
          <w:rFonts w:ascii="Arial" w:hAnsi="Arial" w:cs="Arial"/>
          <w:iCs/>
        </w:rPr>
        <w:t xml:space="preserve"> Ivett, Vida Dezsőné, Szántó Ferenc, Szántó Ákos, Papp Attiláné, Kovács Lóránt János, Sipos Istvánné és Pál Attila Györgyné</w:t>
      </w:r>
      <w:r w:rsidR="00F355CD" w:rsidRPr="00950A54">
        <w:rPr>
          <w:rFonts w:ascii="Arial" w:hAnsi="Arial" w:cs="Arial"/>
          <w:iCs/>
        </w:rPr>
        <w:t xml:space="preserve"> mint ingatlantulajdonos</w:t>
      </w:r>
      <w:r>
        <w:rPr>
          <w:rFonts w:ascii="Arial" w:hAnsi="Arial" w:cs="Arial"/>
          <w:iCs/>
        </w:rPr>
        <w:t>ok meghatalmazása alapján dr. Fábián Ildikó ügyvéd</w:t>
      </w:r>
      <w:r w:rsidR="00DC02DD">
        <w:rPr>
          <w:rFonts w:ascii="Arial" w:hAnsi="Arial" w:cs="Arial"/>
          <w:iCs/>
        </w:rPr>
        <w:t xml:space="preserve"> kereste meg Hévíz Város Önkormányzatot. Az ingatlan-nyilvántartás adatai szerint a Hévíz (belterület) 863. hrsz-ú ingatlan „lakóház, udvar,gazdasági épület” megjelölésű, 1124 m² térmértékű ingatlan. Az ingatlan fent nevezettek osztatlan közös tulajdonát képezi. Leírta, hogy a Széchenyi utca 2018. évi felújításához kapcsolódóan sem valósult meg az ingatlan jelenlegi besorolás szerinti felhasználása, a szabályozási tervben </w:t>
      </w:r>
      <w:proofErr w:type="spellStart"/>
      <w:r w:rsidR="00DC02DD">
        <w:rPr>
          <w:rFonts w:ascii="Arial" w:hAnsi="Arial" w:cs="Arial"/>
          <w:iCs/>
        </w:rPr>
        <w:t>ezreplő</w:t>
      </w:r>
      <w:proofErr w:type="spellEnd"/>
      <w:r w:rsidR="00DC02DD">
        <w:rPr>
          <w:rFonts w:ascii="Arial" w:hAnsi="Arial" w:cs="Arial"/>
          <w:iCs/>
        </w:rPr>
        <w:t xml:space="preserve"> fejlesztési elképzelés nem valósult meg, azonban a terv módosítása sem valósult meg. A jogi képviselő levelében foglaltak szerint több évi hasznosítási lehetőséget vonta ez meg tőlük. Ez, továbbá az állagromlás és az elmaradt haszon jelentős kárt okozott a tulajdonosoknak.</w:t>
      </w:r>
    </w:p>
    <w:p w:rsidR="000E4F71" w:rsidRDefault="00DC02DD" w:rsidP="00CA1E6E">
      <w:pPr>
        <w:spacing w:after="0"/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Kérte a tájékoztatást arra vonatkozóan, hogy a város tényleges, </w:t>
      </w:r>
      <w:proofErr w:type="spellStart"/>
      <w:r>
        <w:rPr>
          <w:rFonts w:ascii="Arial" w:hAnsi="Arial" w:cs="Arial"/>
          <w:iCs/>
        </w:rPr>
        <w:t>jelenleti</w:t>
      </w:r>
      <w:proofErr w:type="spellEnd"/>
      <w:r>
        <w:rPr>
          <w:rFonts w:ascii="Arial" w:hAnsi="Arial" w:cs="Arial"/>
          <w:iCs/>
        </w:rPr>
        <w:t xml:space="preserve"> fejlesztési tervei érinti-e az ingatlant vagy sem. Amennyiben nem, úgy kérte az ingatlan visszasorolását a szomszédos ingatlanokkal egyező lakóövezetbe. Amennyiben viszont számol a város az ingatlan hasznosításával, úgy - </w:t>
      </w:r>
      <w:r w:rsidR="00496168">
        <w:rPr>
          <w:rFonts w:ascii="Arial" w:hAnsi="Arial" w:cs="Arial"/>
          <w:iCs/>
        </w:rPr>
        <w:t>a városközpont</w:t>
      </w:r>
      <w:r>
        <w:rPr>
          <w:rFonts w:ascii="Arial" w:hAnsi="Arial" w:cs="Arial"/>
          <w:iCs/>
        </w:rPr>
        <w:t>i elhelyezkedésére figyelemmel -</w:t>
      </w:r>
      <w:r w:rsidR="00496168">
        <w:rPr>
          <w:rFonts w:ascii="Arial" w:hAnsi="Arial" w:cs="Arial"/>
          <w:iCs/>
        </w:rPr>
        <w:t xml:space="preserve"> 40.000.000.- Forint vételáron kínálta eladásra a teljes ingatlant. </w:t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iCs/>
        </w:rPr>
      </w:pPr>
    </w:p>
    <w:p w:rsidR="000E4F71" w:rsidRDefault="00496168" w:rsidP="00CA1E6E">
      <w:pPr>
        <w:spacing w:after="0"/>
        <w:ind w:left="567"/>
        <w:jc w:val="center"/>
        <w:rPr>
          <w:rFonts w:ascii="Arial" w:hAnsi="Arial" w:cs="Arial"/>
          <w:iCs/>
        </w:rPr>
      </w:pPr>
      <w:r>
        <w:rPr>
          <w:noProof/>
          <w:lang w:eastAsia="hu-HU"/>
        </w:rPr>
        <w:drawing>
          <wp:inline distT="0" distB="0" distL="0" distR="0" wp14:anchorId="235D1B83" wp14:editId="6936092E">
            <wp:extent cx="4199763" cy="48672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2435" cy="488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P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  <w:r w:rsidRPr="000E4F71">
        <w:rPr>
          <w:rFonts w:ascii="Arial" w:hAnsi="Arial" w:cs="Arial"/>
          <w:bCs/>
        </w:rPr>
        <w:t xml:space="preserve">Az ingatlantulajdon megszerzése esetén a döntés előkészítése során vizsgálni kell, hogy az ingatlan megszerzése milyen önkormányzati célok megvalósításához, és milyen feltételek mellett alkalmas. Fel kell tárni a továbbhasznosítás lehetőségeit és a várható üzemeltetési költségek körét és nagyságát is. </w:t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  <w:r w:rsidRPr="00486372">
        <w:rPr>
          <w:rFonts w:ascii="Arial" w:hAnsi="Arial" w:cs="Arial"/>
          <w:bCs/>
        </w:rPr>
        <w:t xml:space="preserve">Hévíz Város Önkormányzat Képviselő-testületének a Helyi építési szabályzatról szóló 45/2016. (XII. 22.) önkormányzati rendelete szerint </w:t>
      </w:r>
      <w:r w:rsidR="0012630F">
        <w:rPr>
          <w:rFonts w:ascii="Arial" w:hAnsi="Arial" w:cs="Arial"/>
          <w:bCs/>
        </w:rPr>
        <w:t xml:space="preserve">jelenleg </w:t>
      </w:r>
      <w:r w:rsidRPr="00486372">
        <w:rPr>
          <w:rFonts w:ascii="Arial" w:hAnsi="Arial" w:cs="Arial"/>
          <w:bCs/>
        </w:rPr>
        <w:t>az ingatlan terület</w:t>
      </w:r>
      <w:r w:rsidR="00F23518">
        <w:rPr>
          <w:rFonts w:ascii="Arial" w:hAnsi="Arial" w:cs="Arial"/>
          <w:bCs/>
        </w:rPr>
        <w:t>é</w:t>
      </w:r>
      <w:r w:rsidRPr="00486372">
        <w:rPr>
          <w:rFonts w:ascii="Arial" w:hAnsi="Arial" w:cs="Arial"/>
          <w:bCs/>
        </w:rPr>
        <w:t>n út kialakítása</w:t>
      </w:r>
      <w:r w:rsidR="00234179">
        <w:rPr>
          <w:rFonts w:ascii="Arial" w:hAnsi="Arial" w:cs="Arial"/>
          <w:bCs/>
        </w:rPr>
        <w:t xml:space="preserve"> - a Martinovics Ignác utca megnyitása a Széchenyi utca felől -</w:t>
      </w:r>
      <w:r w:rsidRPr="00486372">
        <w:rPr>
          <w:rFonts w:ascii="Arial" w:hAnsi="Arial" w:cs="Arial"/>
          <w:bCs/>
        </w:rPr>
        <w:t xml:space="preserve"> lett tervezve. </w:t>
      </w:r>
    </w:p>
    <w:p w:rsidR="001E76DF" w:rsidRDefault="001E76DF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Default="00496168" w:rsidP="00CA1E6E">
      <w:pPr>
        <w:spacing w:after="0"/>
        <w:ind w:left="567"/>
        <w:jc w:val="center"/>
        <w:rPr>
          <w:rFonts w:ascii="Arial" w:hAnsi="Arial" w:cs="Arial"/>
          <w:bCs/>
        </w:rPr>
      </w:pPr>
      <w:r>
        <w:rPr>
          <w:noProof/>
          <w:lang w:eastAsia="hu-HU"/>
        </w:rPr>
        <w:drawing>
          <wp:inline distT="0" distB="0" distL="0" distR="0" wp14:anchorId="6F1C5779" wp14:editId="3CDDEF92">
            <wp:extent cx="3590925" cy="44672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C33" w:rsidRPr="00E27F58" w:rsidRDefault="000E4C33" w:rsidP="00CA1E6E">
      <w:pPr>
        <w:spacing w:after="0"/>
        <w:ind w:left="567"/>
        <w:jc w:val="both"/>
        <w:rPr>
          <w:rFonts w:ascii="Arial" w:hAnsi="Arial" w:cs="Arial"/>
        </w:rPr>
      </w:pPr>
      <w:r w:rsidRPr="00E27F58">
        <w:rPr>
          <w:rFonts w:ascii="Arial" w:hAnsi="Arial" w:cs="Arial"/>
          <w:bCs/>
        </w:rPr>
        <w:t>Hévíz Város Önkormányzat Képviselő-testületének a vagyongazdálkodásról szóló 22/2014. (IV. 29.) önkormányzati rendelete szabályozza a felajánlott vagyonnal kapcsolatos eljárást. A 7. §</w:t>
      </w:r>
      <w:r w:rsidRPr="00E27F58">
        <w:rPr>
          <w:rFonts w:ascii="Arial" w:hAnsi="Arial" w:cs="Arial"/>
        </w:rPr>
        <w:t xml:space="preserve"> (1) bekezdése szerint a vagyon tulajdonjogának ingyenes vagy kedvezményes megszerzéséről, felajánlás elfogadásáról a Képviselő-testület jogosult dönteni.</w:t>
      </w:r>
    </w:p>
    <w:p w:rsidR="001D325A" w:rsidRPr="00E27F58" w:rsidRDefault="001D325A" w:rsidP="00CA1E6E">
      <w:pPr>
        <w:spacing w:after="0"/>
        <w:ind w:left="567"/>
        <w:jc w:val="both"/>
        <w:rPr>
          <w:rFonts w:ascii="Arial" w:hAnsi="Arial" w:cs="Arial"/>
          <w:i/>
          <w:u w:val="single"/>
        </w:rPr>
      </w:pPr>
    </w:p>
    <w:p w:rsidR="001D325A" w:rsidRPr="00E27F58" w:rsidRDefault="001D325A" w:rsidP="00CA1E6E">
      <w:pPr>
        <w:spacing w:after="0"/>
        <w:ind w:left="567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 xml:space="preserve">Az ingatlan megvásárlása esetén </w:t>
      </w:r>
      <w:r w:rsidR="00234179">
        <w:rPr>
          <w:rFonts w:ascii="Arial" w:hAnsi="Arial" w:cs="Arial"/>
        </w:rPr>
        <w:t xml:space="preserve">a vételár kifizetésén kívül </w:t>
      </w:r>
      <w:r w:rsidRPr="00E27F58">
        <w:rPr>
          <w:rFonts w:ascii="Arial" w:hAnsi="Arial" w:cs="Arial"/>
        </w:rPr>
        <w:t>számolni kell a következő költségekkel: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 xml:space="preserve">értékbecslés díja (kb. </w:t>
      </w:r>
      <w:r w:rsidR="00842D38">
        <w:rPr>
          <w:rFonts w:ascii="Arial" w:hAnsi="Arial" w:cs="Arial"/>
        </w:rPr>
        <w:t>6</w:t>
      </w:r>
      <w:r w:rsidRPr="00E27F58">
        <w:rPr>
          <w:rFonts w:ascii="Arial" w:hAnsi="Arial" w:cs="Arial"/>
        </w:rPr>
        <w:t>0-</w:t>
      </w:r>
      <w:r w:rsidR="00842D38">
        <w:rPr>
          <w:rFonts w:ascii="Arial" w:hAnsi="Arial" w:cs="Arial"/>
        </w:rPr>
        <w:t>7</w:t>
      </w:r>
      <w:r w:rsidRPr="00E27F58">
        <w:rPr>
          <w:rFonts w:ascii="Arial" w:hAnsi="Arial" w:cs="Arial"/>
        </w:rPr>
        <w:t>0.000.- Forint)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>ügyvédi díj (</w:t>
      </w:r>
      <w:r w:rsidR="00816B90" w:rsidRPr="00E27F58">
        <w:rPr>
          <w:rFonts w:ascii="Arial" w:hAnsi="Arial" w:cs="Arial"/>
        </w:rPr>
        <w:t>állandó megbízási szerződése van az Önkormányzatnak a dr. Farkas Ügyvédi Irodával</w:t>
      </w:r>
      <w:r w:rsidRPr="00E27F58">
        <w:rPr>
          <w:rFonts w:ascii="Arial" w:hAnsi="Arial" w:cs="Arial"/>
        </w:rPr>
        <w:t>)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 xml:space="preserve">földhivatali </w:t>
      </w:r>
      <w:r w:rsidR="000E4C33" w:rsidRPr="00E27F58">
        <w:rPr>
          <w:rFonts w:ascii="Arial" w:hAnsi="Arial" w:cs="Arial"/>
        </w:rPr>
        <w:t xml:space="preserve">bejegyzési illeték 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>megvásárolt ingatlan földmérő általi kitűzése (pontos telekviszonyok, telekhatárok meghatározása céljából)</w:t>
      </w:r>
    </w:p>
    <w:p w:rsidR="001D325A" w:rsidRDefault="00234179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amennyiben a területen megvalósul az útkialakítás, a meglévő épületeket el kell bontani, az </w:t>
      </w:r>
      <w:proofErr w:type="spellStart"/>
      <w:r>
        <w:rPr>
          <w:rFonts w:ascii="Arial" w:hAnsi="Arial" w:cs="Arial"/>
        </w:rPr>
        <w:t>ingatnanon</w:t>
      </w:r>
      <w:proofErr w:type="spellEnd"/>
      <w:r>
        <w:rPr>
          <w:rFonts w:ascii="Arial" w:hAnsi="Arial" w:cs="Arial"/>
        </w:rPr>
        <w:t xml:space="preserve"> húzódó közművek áthelyezését meg kell terveztetni, engedélyeztetni, és azokat áthelyezni, és az utat ki kell alakítani (150-200 millió Forint)</w:t>
      </w:r>
      <w:r w:rsidR="001D325A" w:rsidRPr="00F23518">
        <w:rPr>
          <w:rFonts w:ascii="Arial" w:hAnsi="Arial" w:cs="Arial"/>
        </w:rPr>
        <w:t xml:space="preserve">. </w:t>
      </w:r>
    </w:p>
    <w:p w:rsidR="00BD4EFA" w:rsidRPr="00F23518" w:rsidRDefault="00BD4EFA" w:rsidP="00BD4EFA">
      <w:pPr>
        <w:spacing w:after="0"/>
        <w:ind w:left="567"/>
        <w:jc w:val="both"/>
        <w:rPr>
          <w:rFonts w:ascii="Arial" w:hAnsi="Arial" w:cs="Arial"/>
        </w:rPr>
      </w:pP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  <w:r w:rsidRPr="00950A54">
        <w:rPr>
          <w:rFonts w:ascii="Arial" w:hAnsi="Arial" w:cs="Arial"/>
          <w:i/>
        </w:rPr>
        <w:lastRenderedPageBreak/>
        <w:t>Az épített környezet alakításáról és védelméről szóló 1997. évi LXXVIII. törvény a következőket mondja ki:</w:t>
      </w: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  <w:r w:rsidRPr="00950A54">
        <w:rPr>
          <w:rFonts w:ascii="Arial" w:hAnsi="Arial" w:cs="Arial"/>
          <w:i/>
        </w:rPr>
        <w:t>30. § (1) Ha az ingatlan rendeltetését, használati módját a helyi építési szabályzat másként állapítja meg (övezeti előírások változása) vagy korlátozza (telekalakítási vagy építési tilalom), és ebből a tulajdonosnak, haszonélvezőnek kára származik, a tulajdonost, haszonélvezőt kártalanítás illeti meg.</w:t>
      </w: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  <w:r w:rsidRPr="00950A54">
        <w:rPr>
          <w:rFonts w:ascii="Arial" w:hAnsi="Arial" w:cs="Arial"/>
          <w:i/>
        </w:rPr>
        <w:t xml:space="preserve"> (4) Ha az ingatlan rendeltetését a helyi építési szabályzat valamely később megvalósítandó - jogszabályban megállapított - olyan közérdekű célban határozza meg, amelynek megvalósítása a tulajdonostól nem várható el, és ez a tulajdonosi és építési jogokat korlátozza, a tulajdonos attól követelheti az ingatlan megvételét, akinek érdekében állt a közérdekű célt szolgáló korlátozás előírása (a továbbiakban: érdekelt). Ha az érdekelt nem állapítható meg, vagy jogutód nélkül megszűnt, a tulajdonos a települési önkormányzattól követelheti az ingatlan megvételét. Ha az ingatlan megvételére vonatkozó megállapodás az erre irányuló kérelemtől számított öt éven belül nem jön létre, a tulajdonos kezdeményezheti a kisajátításról szóló törvény szerinti eljárást.</w:t>
      </w:r>
    </w:p>
    <w:p w:rsidR="00BD4EFA" w:rsidRPr="00BD4EFA" w:rsidRDefault="00BD4EFA" w:rsidP="00BD4EFA">
      <w:pPr>
        <w:spacing w:after="0"/>
        <w:ind w:left="567"/>
        <w:jc w:val="both"/>
        <w:rPr>
          <w:rFonts w:ascii="Arial" w:hAnsi="Arial" w:cs="Arial"/>
          <w:color w:val="0070C0"/>
        </w:rPr>
      </w:pPr>
    </w:p>
    <w:p w:rsidR="001D325A" w:rsidRDefault="00BD4EFA" w:rsidP="00BD4EFA">
      <w:pPr>
        <w:spacing w:after="0"/>
        <w:ind w:left="567"/>
        <w:jc w:val="both"/>
        <w:rPr>
          <w:rFonts w:ascii="Arial" w:hAnsi="Arial" w:cs="Arial"/>
        </w:rPr>
      </w:pPr>
      <w:r w:rsidRPr="00950A54">
        <w:rPr>
          <w:rFonts w:ascii="Arial" w:hAnsi="Arial" w:cs="Arial"/>
        </w:rPr>
        <w:t>Tehát amennyiben helyi építési szabályzat korlátozza közérdekű cél miatt valamely ingatlan használatát, hasznosítását, és nem jön létre a kérelem ellenére az ingatlan megvételére vonatkozó megállapodás, akkor kérheti az ingatlan tulajdonosa a terület kisajátítását.</w:t>
      </w:r>
    </w:p>
    <w:p w:rsidR="006510C6" w:rsidRDefault="006510C6" w:rsidP="00BD4EFA">
      <w:pPr>
        <w:spacing w:after="0"/>
        <w:ind w:left="567"/>
        <w:jc w:val="both"/>
        <w:rPr>
          <w:rFonts w:ascii="Arial" w:hAnsi="Arial" w:cs="Arial"/>
        </w:rPr>
      </w:pPr>
    </w:p>
    <w:p w:rsidR="006510C6" w:rsidRPr="006510C6" w:rsidRDefault="006510C6" w:rsidP="006510C6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Fentiekre tekintettel az Önkormányzati Főépítész megvizsgálta, hogy feltétlenül szükséges-e a város fejlesztése érdekében a korlátozás fenntartása. Karsádi György főépítész egyeztetett </w:t>
      </w:r>
      <w:r w:rsidRPr="006510C6">
        <w:rPr>
          <w:rFonts w:ascii="Arial" w:hAnsi="Arial" w:cs="Arial"/>
        </w:rPr>
        <w:t xml:space="preserve">Dr. Kovács Péter településtervezővel és </w:t>
      </w:r>
      <w:proofErr w:type="spellStart"/>
      <w:r w:rsidRPr="006510C6">
        <w:rPr>
          <w:rFonts w:ascii="Arial" w:hAnsi="Arial" w:cs="Arial"/>
        </w:rPr>
        <w:t>Tászle</w:t>
      </w:r>
      <w:r>
        <w:rPr>
          <w:rFonts w:ascii="Arial" w:hAnsi="Arial" w:cs="Arial"/>
        </w:rPr>
        <w:t>r</w:t>
      </w:r>
      <w:proofErr w:type="spellEnd"/>
      <w:r>
        <w:rPr>
          <w:rFonts w:ascii="Arial" w:hAnsi="Arial" w:cs="Arial"/>
        </w:rPr>
        <w:t xml:space="preserve"> László közlekedés tervezővel. Az </w:t>
      </w:r>
      <w:r w:rsidRPr="006510C6">
        <w:rPr>
          <w:rFonts w:ascii="Arial" w:hAnsi="Arial" w:cs="Arial"/>
        </w:rPr>
        <w:t>idevonatkozó előírások és szabványok szerint zsákutca 200 méter hosszúságban tervezhető. Tehát jelen esetben a Martinovics utca hossza 185 méter, kevesebb mint a szabványban előírt utca hossz. Ennek a jele</w:t>
      </w:r>
      <w:r>
        <w:rPr>
          <w:rFonts w:ascii="Arial" w:hAnsi="Arial" w:cs="Arial"/>
        </w:rPr>
        <w:t xml:space="preserve">nlegi helyzet teljesen megfelel, </w:t>
      </w:r>
      <w:r w:rsidRPr="006510C6">
        <w:rPr>
          <w:rFonts w:ascii="Arial" w:hAnsi="Arial" w:cs="Arial"/>
        </w:rPr>
        <w:t>mert az elmúlt több mint 15 évben semmi közlekedési  probléma nem merült fel (pedig ebben az időszakban épült fel 5 db OTP többlakásos társasház  és utána 9 db többlakásos társasház).</w:t>
      </w:r>
    </w:p>
    <w:p w:rsidR="006510C6" w:rsidRPr="00950A54" w:rsidRDefault="006510C6" w:rsidP="006510C6">
      <w:pPr>
        <w:spacing w:after="0"/>
        <w:ind w:left="567"/>
        <w:jc w:val="both"/>
        <w:rPr>
          <w:rFonts w:ascii="Arial" w:hAnsi="Arial" w:cs="Arial"/>
        </w:rPr>
      </w:pPr>
      <w:r w:rsidRPr="006510C6">
        <w:rPr>
          <w:rFonts w:ascii="Arial" w:hAnsi="Arial" w:cs="Arial"/>
        </w:rPr>
        <w:t>Tehát: nincs szükség a Martinovics utca jelenlegi  állapotának megváltoztatására, a Szabályozási tervről törölhető a tervezett Széchenyi utca felé  való kikötés.</w:t>
      </w: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0D0335" w:rsidRDefault="006510C6" w:rsidP="00CA1E6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Ennek megfelelően inkább javaslom a szabályozási terv módosítását tekintettel arra is, hogy az Önkormányzat költségvetésében nem áll jelenleg rendelkezésre a fedezet ilyen mértékű ingatlanfejlesztésre és vásárlásra.</w:t>
      </w:r>
    </w:p>
    <w:p w:rsidR="00F23518" w:rsidRDefault="00F23518" w:rsidP="00CA1E6E">
      <w:pPr>
        <w:spacing w:after="0"/>
        <w:ind w:left="567"/>
        <w:jc w:val="both"/>
        <w:rPr>
          <w:rFonts w:ascii="Arial" w:hAnsi="Arial" w:cs="Arial"/>
        </w:rPr>
      </w:pPr>
    </w:p>
    <w:p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</w:p>
    <w:p w:rsidR="00801CE1" w:rsidRDefault="002526E6" w:rsidP="00CA1E6E">
      <w:pPr>
        <w:spacing w:after="0"/>
        <w:ind w:left="567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CA1E6E">
      <w:pPr>
        <w:spacing w:after="0"/>
        <w:ind w:left="567"/>
        <w:jc w:val="both"/>
        <w:rPr>
          <w:rFonts w:ascii="Arial" w:hAnsi="Arial" w:cs="Arial"/>
        </w:rPr>
      </w:pPr>
    </w:p>
    <w:p w:rsidR="00235553" w:rsidRDefault="00235553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7561C1" w:rsidRDefault="007561C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CA1E6E">
      <w:pPr>
        <w:pStyle w:val="Listaszerbekezds"/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CA1E6E">
      <w:pPr>
        <w:pStyle w:val="Listaszerbekezds"/>
        <w:spacing w:after="0" w:line="240" w:lineRule="auto"/>
        <w:ind w:left="567" w:firstLine="2541"/>
        <w:rPr>
          <w:rFonts w:ascii="Arial" w:hAnsi="Arial" w:cs="Arial"/>
          <w:b/>
          <w:sz w:val="24"/>
          <w:szCs w:val="24"/>
        </w:rPr>
      </w:pPr>
    </w:p>
    <w:p w:rsidR="001D325A" w:rsidRPr="001D325A" w:rsidRDefault="001D325A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561C1" w:rsidRPr="00DC02DD" w:rsidRDefault="007561C1" w:rsidP="007561C1">
      <w:pPr>
        <w:pStyle w:val="Nincstrkz"/>
        <w:ind w:left="644"/>
        <w:jc w:val="both"/>
        <w:rPr>
          <w:rFonts w:ascii="Arial" w:hAnsi="Arial" w:cs="Arial"/>
        </w:rPr>
      </w:pPr>
      <w:r w:rsidRPr="00DC02DD">
        <w:rPr>
          <w:rFonts w:ascii="Arial" w:hAnsi="Arial" w:cs="Arial"/>
        </w:rPr>
        <w:t xml:space="preserve">1. </w:t>
      </w:r>
      <w:r w:rsidR="003D0E6E" w:rsidRPr="00DC02DD">
        <w:rPr>
          <w:rFonts w:ascii="Arial" w:hAnsi="Arial" w:cs="Arial"/>
        </w:rPr>
        <w:t xml:space="preserve">Hévíz Város Önkormányzat Képviselő-testülete </w:t>
      </w:r>
      <w:r w:rsidRPr="00DC02DD">
        <w:rPr>
          <w:rFonts w:ascii="Arial" w:hAnsi="Arial" w:cs="Arial"/>
        </w:rPr>
        <w:t>megtárgyalva</w:t>
      </w:r>
      <w:r w:rsidR="003D0E6E" w:rsidRPr="00DC02DD">
        <w:rPr>
          <w:rFonts w:ascii="Arial" w:hAnsi="Arial" w:cs="Arial"/>
        </w:rPr>
        <w:t xml:space="preserve"> </w:t>
      </w:r>
      <w:r w:rsidR="0012630F" w:rsidRPr="00DC02DD">
        <w:rPr>
          <w:rFonts w:ascii="Arial" w:hAnsi="Arial" w:cs="Arial"/>
          <w:iCs/>
        </w:rPr>
        <w:t xml:space="preserve">Polgár Zsolt, Polgárné </w:t>
      </w:r>
      <w:proofErr w:type="spellStart"/>
      <w:r w:rsidR="0012630F" w:rsidRPr="00DC02DD">
        <w:rPr>
          <w:rFonts w:ascii="Arial" w:hAnsi="Arial" w:cs="Arial"/>
          <w:iCs/>
        </w:rPr>
        <w:t>Fitus</w:t>
      </w:r>
      <w:proofErr w:type="spellEnd"/>
      <w:r w:rsidR="0012630F" w:rsidRPr="00DC02DD">
        <w:rPr>
          <w:rFonts w:ascii="Arial" w:hAnsi="Arial" w:cs="Arial"/>
          <w:iCs/>
        </w:rPr>
        <w:t xml:space="preserve"> Ivett, Vida Dezsőné, Szántó Ferenc, Szántó Ákos, Papp Attiláné, Kovács Lóránt János, Sipos Istvánné és Pál Attila Györgyné</w:t>
      </w:r>
      <w:r w:rsidR="0012630F" w:rsidRPr="00DC02DD">
        <w:rPr>
          <w:rFonts w:ascii="Arial" w:hAnsi="Arial" w:cs="Arial"/>
        </w:rPr>
        <w:t xml:space="preserve"> </w:t>
      </w:r>
      <w:r w:rsidRPr="00DC02DD">
        <w:rPr>
          <w:rFonts w:ascii="Arial" w:hAnsi="Arial" w:cs="Arial"/>
        </w:rPr>
        <w:t xml:space="preserve">tulajdonosok által a tulajdonukat képező </w:t>
      </w:r>
      <w:r w:rsidR="003D0E6E" w:rsidRPr="00DC02DD">
        <w:rPr>
          <w:rFonts w:ascii="Arial" w:hAnsi="Arial" w:cs="Arial"/>
        </w:rPr>
        <w:t xml:space="preserve">Hévíz (belterület) </w:t>
      </w:r>
      <w:r w:rsidR="0012630F" w:rsidRPr="00DC02DD">
        <w:rPr>
          <w:rFonts w:ascii="Arial" w:hAnsi="Arial" w:cs="Arial"/>
        </w:rPr>
        <w:t>863</w:t>
      </w:r>
      <w:r w:rsidR="003D0E6E" w:rsidRPr="00DC02DD">
        <w:rPr>
          <w:rFonts w:ascii="Arial" w:hAnsi="Arial" w:cs="Arial"/>
        </w:rPr>
        <w:t>. hrsz-ú ingatlan</w:t>
      </w:r>
      <w:r w:rsidRPr="00DC02DD">
        <w:rPr>
          <w:rFonts w:ascii="Arial" w:hAnsi="Arial" w:cs="Arial"/>
        </w:rPr>
        <w:t>ra vonatkozó kezdeményezést</w:t>
      </w:r>
      <w:r w:rsidR="00266B81" w:rsidRPr="00DC02DD">
        <w:rPr>
          <w:rFonts w:ascii="Arial" w:hAnsi="Arial" w:cs="Arial"/>
        </w:rPr>
        <w:t>,</w:t>
      </w:r>
      <w:r w:rsidRPr="00DC02DD">
        <w:rPr>
          <w:rFonts w:ascii="Arial" w:hAnsi="Arial" w:cs="Arial"/>
        </w:rPr>
        <w:t xml:space="preserve"> nyilatkozik, hogy az ingatlanon önkormányzati beruházást nem kíván megvalósítani</w:t>
      </w:r>
      <w:r w:rsidR="00266B81" w:rsidRPr="00DC02DD">
        <w:rPr>
          <w:rFonts w:ascii="Arial" w:hAnsi="Arial" w:cs="Arial"/>
        </w:rPr>
        <w:t>,</w:t>
      </w:r>
      <w:r w:rsidRPr="00DC02DD">
        <w:rPr>
          <w:rFonts w:ascii="Arial" w:hAnsi="Arial" w:cs="Arial"/>
        </w:rPr>
        <w:t xml:space="preserve"> ezért az ingatlant érintő szerkezeti tervi és helyi építési szabályzat szerinti előírások m</w:t>
      </w:r>
      <w:r w:rsidR="00266B81" w:rsidRPr="00DC02DD">
        <w:rPr>
          <w:rFonts w:ascii="Arial" w:hAnsi="Arial" w:cs="Arial"/>
        </w:rPr>
        <w:t>ó</w:t>
      </w:r>
      <w:r w:rsidRPr="00DC02DD">
        <w:rPr>
          <w:rFonts w:ascii="Arial" w:hAnsi="Arial" w:cs="Arial"/>
        </w:rPr>
        <w:t>dosítását (törlését) elindítja, az ingat</w:t>
      </w:r>
      <w:r w:rsidR="00266B81" w:rsidRPr="00DC02DD">
        <w:rPr>
          <w:rFonts w:ascii="Arial" w:hAnsi="Arial" w:cs="Arial"/>
        </w:rPr>
        <w:t>lant a környező övezethez igazítva Vt-4-Z besorolásba kívánja helyezni.</w:t>
      </w:r>
    </w:p>
    <w:p w:rsidR="007561C1" w:rsidRPr="00DC02DD" w:rsidRDefault="007561C1" w:rsidP="00266B81">
      <w:pPr>
        <w:pStyle w:val="Nincstrkz"/>
        <w:jc w:val="both"/>
        <w:rPr>
          <w:rFonts w:ascii="Arial" w:hAnsi="Arial" w:cs="Arial"/>
        </w:rPr>
      </w:pPr>
    </w:p>
    <w:p w:rsidR="003D0E6E" w:rsidRPr="00DC02DD" w:rsidRDefault="007561C1" w:rsidP="007561C1">
      <w:pPr>
        <w:pStyle w:val="Nincstrkz"/>
        <w:ind w:left="644"/>
        <w:jc w:val="both"/>
        <w:rPr>
          <w:rFonts w:ascii="Arial" w:hAnsi="Arial" w:cs="Arial"/>
        </w:rPr>
      </w:pPr>
      <w:r w:rsidRPr="00DC02DD">
        <w:rPr>
          <w:rFonts w:ascii="Arial" w:hAnsi="Arial" w:cs="Arial"/>
        </w:rPr>
        <w:t xml:space="preserve">2. </w:t>
      </w:r>
      <w:r w:rsidR="00BD4EFA" w:rsidRPr="00DC02DD">
        <w:rPr>
          <w:rFonts w:ascii="Arial" w:hAnsi="Arial" w:cs="Arial"/>
        </w:rPr>
        <w:t xml:space="preserve">A Képviselő-testület felhatalmazza a polgármestert, hogy </w:t>
      </w:r>
      <w:r w:rsidR="00496318" w:rsidRPr="00DC02DD">
        <w:rPr>
          <w:rFonts w:ascii="Arial" w:hAnsi="Arial" w:cs="Arial"/>
        </w:rPr>
        <w:t xml:space="preserve">a </w:t>
      </w:r>
      <w:r w:rsidR="00850692" w:rsidRPr="00DC02DD">
        <w:rPr>
          <w:rFonts w:ascii="Arial" w:hAnsi="Arial" w:cs="Arial"/>
        </w:rPr>
        <w:t>döntéséről</w:t>
      </w:r>
      <w:r w:rsidR="00496318" w:rsidRPr="00DC02DD">
        <w:rPr>
          <w:rFonts w:ascii="Arial" w:hAnsi="Arial" w:cs="Arial"/>
        </w:rPr>
        <w:t>,</w:t>
      </w:r>
      <w:r w:rsidR="00850692" w:rsidRPr="00DC02DD">
        <w:rPr>
          <w:rFonts w:ascii="Arial" w:hAnsi="Arial" w:cs="Arial"/>
        </w:rPr>
        <w:t xml:space="preserve"> az </w:t>
      </w:r>
      <w:r w:rsidR="008928D9" w:rsidRPr="00DC02DD">
        <w:rPr>
          <w:rFonts w:ascii="Arial" w:hAnsi="Arial" w:cs="Arial"/>
        </w:rPr>
        <w:t xml:space="preserve">övezeti </w:t>
      </w:r>
      <w:proofErr w:type="spellStart"/>
      <w:r w:rsidR="008928D9" w:rsidRPr="00DC02DD">
        <w:rPr>
          <w:rFonts w:ascii="Arial" w:hAnsi="Arial" w:cs="Arial"/>
        </w:rPr>
        <w:t>besolás</w:t>
      </w:r>
      <w:proofErr w:type="spellEnd"/>
      <w:r w:rsidR="008928D9" w:rsidRPr="00DC02DD">
        <w:rPr>
          <w:rFonts w:ascii="Arial" w:hAnsi="Arial" w:cs="Arial"/>
        </w:rPr>
        <w:t xml:space="preserve"> módosításáról és a</w:t>
      </w:r>
      <w:r w:rsidR="00496318" w:rsidRPr="00DC02DD">
        <w:rPr>
          <w:rFonts w:ascii="Arial" w:hAnsi="Arial" w:cs="Arial"/>
        </w:rPr>
        <w:t xml:space="preserve">z </w:t>
      </w:r>
      <w:r w:rsidR="008928D9" w:rsidRPr="00DC02DD">
        <w:rPr>
          <w:rFonts w:ascii="Arial" w:hAnsi="Arial" w:cs="Arial"/>
        </w:rPr>
        <w:t>eladásra vonatkozó nyilatkozat el nem fogadásáról az i</w:t>
      </w:r>
      <w:r w:rsidR="00850692" w:rsidRPr="00DC02DD">
        <w:rPr>
          <w:rFonts w:ascii="Arial" w:hAnsi="Arial" w:cs="Arial"/>
        </w:rPr>
        <w:t>ngatlan-tulajdonosokat a meghatalmazott ügyvéd által értesítse</w:t>
      </w:r>
      <w:r w:rsidR="00BD4EFA" w:rsidRPr="00DC02DD">
        <w:rPr>
          <w:rFonts w:ascii="Arial" w:hAnsi="Arial" w:cs="Arial"/>
        </w:rPr>
        <w:t>.</w:t>
      </w:r>
    </w:p>
    <w:p w:rsidR="001D325A" w:rsidRPr="00DC02DD" w:rsidRDefault="001D325A" w:rsidP="00CA1E6E">
      <w:pPr>
        <w:spacing w:after="0" w:line="240" w:lineRule="auto"/>
        <w:ind w:left="567"/>
        <w:jc w:val="both"/>
        <w:rPr>
          <w:rFonts w:ascii="Arial" w:eastAsiaTheme="minorHAnsi" w:hAnsi="Arial" w:cs="Arial"/>
          <w:lang w:eastAsia="ar-SA"/>
        </w:rPr>
      </w:pPr>
    </w:p>
    <w:p w:rsidR="001D325A" w:rsidRPr="00DC02DD" w:rsidRDefault="001D325A" w:rsidP="00CA1E6E">
      <w:pPr>
        <w:spacing w:after="0" w:line="240" w:lineRule="auto"/>
        <w:ind w:left="567"/>
        <w:jc w:val="both"/>
        <w:rPr>
          <w:rFonts w:ascii="Arial" w:eastAsiaTheme="minorHAnsi" w:hAnsi="Arial" w:cs="Arial"/>
          <w:lang w:eastAsia="ar-SA"/>
        </w:rPr>
      </w:pPr>
    </w:p>
    <w:tbl>
      <w:tblPr>
        <w:tblW w:w="120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7936"/>
      </w:tblGrid>
      <w:tr w:rsidR="00DC02DD" w:rsidRPr="00DC02DD" w:rsidTr="00850692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D325A" w:rsidRPr="00DC02DD" w:rsidRDefault="001D325A" w:rsidP="00CA1E6E">
            <w:pPr>
              <w:spacing w:after="0"/>
              <w:ind w:left="567"/>
              <w:rPr>
                <w:rFonts w:ascii="Arial" w:hAnsi="Arial" w:cs="Arial"/>
              </w:rPr>
            </w:pPr>
            <w:r w:rsidRPr="00DC02DD">
              <w:rPr>
                <w:rFonts w:ascii="Arial" w:hAnsi="Arial" w:cs="Arial"/>
              </w:rPr>
              <w:t xml:space="preserve"> </w:t>
            </w:r>
            <w:r w:rsidRPr="00DC02DD">
              <w:rPr>
                <w:rFonts w:ascii="Arial" w:hAnsi="Arial" w:cs="Arial"/>
                <w:iCs/>
              </w:rPr>
              <w:t>Felelős:</w:t>
            </w:r>
            <w:r w:rsidR="00850692" w:rsidRPr="00DC02DD">
              <w:rPr>
                <w:rFonts w:ascii="Arial" w:hAnsi="Arial" w:cs="Arial"/>
              </w:rPr>
              <w:t xml:space="preserve"> Papp Gábor polgármester</w:t>
            </w:r>
          </w:p>
          <w:p w:rsidR="007561C1" w:rsidRPr="00DC02DD" w:rsidRDefault="007561C1" w:rsidP="00CA1E6E">
            <w:pPr>
              <w:spacing w:after="0"/>
              <w:ind w:left="567"/>
              <w:rPr>
                <w:rFonts w:ascii="Arial" w:hAnsi="Arial" w:cs="Arial"/>
              </w:rPr>
            </w:pPr>
            <w:r w:rsidRPr="00DC02DD">
              <w:rPr>
                <w:rFonts w:ascii="Arial" w:hAnsi="Arial" w:cs="Arial"/>
              </w:rPr>
              <w:t xml:space="preserve"> Határidő: 2020. júli</w:t>
            </w:r>
            <w:r w:rsidR="00266B81" w:rsidRPr="00DC02DD">
              <w:rPr>
                <w:rFonts w:ascii="Arial" w:hAnsi="Arial" w:cs="Arial"/>
              </w:rPr>
              <w:t>u</w:t>
            </w:r>
            <w:r w:rsidRPr="00DC02DD">
              <w:rPr>
                <w:rFonts w:ascii="Arial" w:hAnsi="Arial" w:cs="Arial"/>
              </w:rPr>
              <w:t>s 10.</w:t>
            </w:r>
          </w:p>
          <w:p w:rsidR="007561C1" w:rsidRPr="00DC02DD" w:rsidRDefault="007561C1" w:rsidP="00CA1E6E">
            <w:pPr>
              <w:spacing w:after="0"/>
              <w:ind w:left="567"/>
              <w:rPr>
                <w:rFonts w:ascii="Arial" w:hAnsi="Arial" w:cs="Arial"/>
                <w:iCs/>
              </w:rPr>
            </w:pP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1D325A" w:rsidRPr="00DC02DD" w:rsidRDefault="001D325A" w:rsidP="00850692">
            <w:pPr>
              <w:spacing w:after="0"/>
              <w:ind w:left="567"/>
              <w:rPr>
                <w:rFonts w:ascii="Arial" w:hAnsi="Arial" w:cs="Arial"/>
              </w:rPr>
            </w:pPr>
            <w:r w:rsidRPr="00DC02DD">
              <w:rPr>
                <w:rFonts w:ascii="Arial" w:hAnsi="Arial" w:cs="Arial"/>
              </w:rPr>
              <w:t xml:space="preserve"> </w:t>
            </w:r>
          </w:p>
        </w:tc>
      </w:tr>
    </w:tbl>
    <w:p w:rsidR="007561C1" w:rsidRPr="00103668" w:rsidRDefault="007561C1" w:rsidP="007561C1">
      <w:pPr>
        <w:pStyle w:val="Nincstrkz"/>
        <w:ind w:left="644"/>
        <w:jc w:val="both"/>
        <w:rPr>
          <w:rFonts w:ascii="Arial" w:hAnsi="Arial" w:cs="Arial"/>
        </w:rPr>
      </w:pPr>
      <w:r w:rsidRPr="00103668">
        <w:rPr>
          <w:rFonts w:ascii="Arial" w:hAnsi="Arial" w:cs="Arial"/>
        </w:rPr>
        <w:t xml:space="preserve">3. A Képviselő-testület elrendeli a </w:t>
      </w:r>
      <w:r w:rsidR="00266B81" w:rsidRPr="00103668">
        <w:rPr>
          <w:rFonts w:ascii="Arial" w:hAnsi="Arial" w:cs="Arial"/>
        </w:rPr>
        <w:t xml:space="preserve">Hévíz (belterület) 863. hrsz-ú ingatlanra </w:t>
      </w:r>
      <w:r w:rsidR="00406C1D" w:rsidRPr="00103668">
        <w:rPr>
          <w:rFonts w:ascii="Arial" w:hAnsi="Arial" w:cs="Arial"/>
        </w:rPr>
        <w:t>a Helyi Építési Szabályzat és annak mellékletét képező</w:t>
      </w:r>
      <w:r w:rsidR="00266B81" w:rsidRPr="00103668">
        <w:rPr>
          <w:rFonts w:ascii="Arial" w:hAnsi="Arial" w:cs="Arial"/>
        </w:rPr>
        <w:t xml:space="preserve"> </w:t>
      </w:r>
      <w:r w:rsidRPr="00103668">
        <w:rPr>
          <w:rFonts w:ascii="Arial" w:hAnsi="Arial" w:cs="Arial"/>
        </w:rPr>
        <w:t>Szabályozás</w:t>
      </w:r>
      <w:r w:rsidR="00406C1D" w:rsidRPr="00103668">
        <w:rPr>
          <w:rFonts w:ascii="Arial" w:hAnsi="Arial" w:cs="Arial"/>
        </w:rPr>
        <w:t>i T</w:t>
      </w:r>
      <w:r w:rsidR="00266B81" w:rsidRPr="00103668">
        <w:rPr>
          <w:rFonts w:ascii="Arial" w:hAnsi="Arial" w:cs="Arial"/>
        </w:rPr>
        <w:t>erv határozat szerinti módosítását az</w:t>
      </w:r>
      <w:r w:rsidRPr="00103668">
        <w:rPr>
          <w:rFonts w:ascii="Arial" w:hAnsi="Arial" w:cs="Arial"/>
        </w:rPr>
        <w:t xml:space="preserve"> eljárás megindítását a nevezett ingatlanra tervezett közlekedési célú övezeti megjelölés törlésére vonatkozóan. </w:t>
      </w:r>
    </w:p>
    <w:p w:rsidR="00404F27" w:rsidRPr="00103668" w:rsidRDefault="00404F27" w:rsidP="00CA1E6E">
      <w:pPr>
        <w:ind w:left="567"/>
      </w:pPr>
    </w:p>
    <w:p w:rsidR="00266B81" w:rsidRPr="00DC02DD" w:rsidRDefault="00266B81" w:rsidP="00266B81">
      <w:pPr>
        <w:spacing w:after="0"/>
        <w:ind w:left="567" w:firstLine="77"/>
        <w:rPr>
          <w:rFonts w:ascii="Arial" w:hAnsi="Arial" w:cs="Arial"/>
        </w:rPr>
      </w:pPr>
      <w:r w:rsidRPr="00DC02DD">
        <w:rPr>
          <w:rFonts w:ascii="Arial" w:hAnsi="Arial" w:cs="Arial"/>
          <w:iCs/>
        </w:rPr>
        <w:t>Felelős:</w:t>
      </w:r>
      <w:r w:rsidRPr="00DC02DD">
        <w:rPr>
          <w:rFonts w:ascii="Arial" w:hAnsi="Arial" w:cs="Arial"/>
        </w:rPr>
        <w:t xml:space="preserve"> Papp Gábor polgármester</w:t>
      </w:r>
    </w:p>
    <w:p w:rsidR="00266B81" w:rsidRPr="00DC02DD" w:rsidRDefault="00266B81" w:rsidP="00266B81">
      <w:pPr>
        <w:spacing w:after="0"/>
        <w:ind w:left="567" w:firstLine="77"/>
        <w:rPr>
          <w:rFonts w:ascii="Arial" w:hAnsi="Arial" w:cs="Arial"/>
        </w:rPr>
      </w:pPr>
      <w:r w:rsidRPr="00DC02DD">
        <w:rPr>
          <w:rFonts w:ascii="Arial" w:hAnsi="Arial" w:cs="Arial"/>
        </w:rPr>
        <w:tab/>
      </w:r>
      <w:r w:rsidRPr="00DC02DD">
        <w:rPr>
          <w:rFonts w:ascii="Arial" w:hAnsi="Arial" w:cs="Arial"/>
        </w:rPr>
        <w:tab/>
        <w:t xml:space="preserve"> Karsádi György önkormányzati főépítész</w:t>
      </w:r>
    </w:p>
    <w:p w:rsidR="00266B81" w:rsidRPr="00DC02DD" w:rsidRDefault="00266B81" w:rsidP="00266B81">
      <w:pPr>
        <w:spacing w:after="0"/>
        <w:ind w:left="567"/>
        <w:rPr>
          <w:rFonts w:ascii="Arial" w:hAnsi="Arial" w:cs="Arial"/>
        </w:rPr>
      </w:pPr>
      <w:r w:rsidRPr="00DC02DD">
        <w:rPr>
          <w:rFonts w:ascii="Arial" w:hAnsi="Arial" w:cs="Arial"/>
        </w:rPr>
        <w:t xml:space="preserve"> Határidő: 2020. július 10.</w:t>
      </w:r>
    </w:p>
    <w:p w:rsidR="00266B81" w:rsidRDefault="00266B81" w:rsidP="00CA1E6E">
      <w:pPr>
        <w:ind w:left="567"/>
      </w:pPr>
    </w:p>
    <w:p w:rsidR="00D0707B" w:rsidRDefault="00D0707B" w:rsidP="00CA1E6E">
      <w:pPr>
        <w:ind w:left="567"/>
        <w:jc w:val="center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910915" w:rsidRDefault="00910915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910915" w:rsidRDefault="00910915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</w:t>
      </w:r>
    </w:p>
    <w:p w:rsidR="00910915" w:rsidRDefault="00DC02DD" w:rsidP="00DC02D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2E3CFF0" wp14:editId="2B674CEE">
            <wp:extent cx="6382844" cy="91059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90292" cy="911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915" w:rsidRDefault="00910915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910915" w:rsidRDefault="00DC02DD" w:rsidP="00DC02D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2E52BF6" wp14:editId="28EFAC9D">
            <wp:extent cx="6259759" cy="8619289"/>
            <wp:effectExtent l="0" t="0" r="8255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6801" cy="865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915" w:rsidRDefault="00910915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910915" w:rsidRDefault="00910915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55579D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3072"/>
        <w:gridCol w:w="1842"/>
        <w:gridCol w:w="2410"/>
      </w:tblGrid>
      <w:tr w:rsidR="008E2138" w:rsidRPr="00956A7D" w:rsidTr="009423E6">
        <w:tc>
          <w:tcPr>
            <w:tcW w:w="9355" w:type="dxa"/>
            <w:gridSpan w:val="4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9423E6">
        <w:trPr>
          <w:trHeight w:val="422"/>
        </w:trPr>
        <w:tc>
          <w:tcPr>
            <w:tcW w:w="2031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72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2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10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423E6">
        <w:trPr>
          <w:trHeight w:val="697"/>
        </w:trPr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Default="00801CE1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:rsidR="008E2138" w:rsidRPr="00801CE1" w:rsidRDefault="00801CE1" w:rsidP="0091091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423E6">
        <w:trPr>
          <w:trHeight w:val="573"/>
        </w:trPr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Default="00801CE1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pénzügyi ellenőrzés</w:t>
            </w: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423E6"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3072" w:type="dxa"/>
            <w:vAlign w:val="center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</w:t>
            </w:r>
            <w:r w:rsidR="009423E6">
              <w:rPr>
                <w:rFonts w:ascii="Arial" w:hAnsi="Arial" w:cs="Arial"/>
              </w:rPr>
              <w:t>f</w:t>
            </w:r>
            <w:r w:rsidRPr="00801CE1">
              <w:rPr>
                <w:rFonts w:ascii="Arial" w:hAnsi="Arial" w:cs="Arial"/>
              </w:rPr>
              <w:t>elülvizsgálat</w:t>
            </w:r>
          </w:p>
          <w:p w:rsidR="008E2138" w:rsidRPr="00801CE1" w:rsidRDefault="008E2138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327"/>
      </w:tblGrid>
      <w:tr w:rsidR="008E2138" w:rsidRPr="00956A7D" w:rsidTr="00CA1E6E">
        <w:trPr>
          <w:trHeight w:val="277"/>
        </w:trPr>
        <w:tc>
          <w:tcPr>
            <w:tcW w:w="9355" w:type="dxa"/>
            <w:gridSpan w:val="4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CA1E6E">
        <w:trPr>
          <w:trHeight w:val="277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E6E">
        <w:trPr>
          <w:trHeight w:val="707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CA1E6E">
        <w:trPr>
          <w:trHeight w:val="829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ind w:left="567"/>
      </w:pPr>
    </w:p>
    <w:p w:rsidR="008E2138" w:rsidRDefault="008E2138" w:rsidP="00CA1E6E">
      <w:pPr>
        <w:ind w:left="567"/>
      </w:pPr>
    </w:p>
    <w:sectPr w:rsidR="008E2138" w:rsidSect="00CA1E6E">
      <w:footerReference w:type="even" r:id="rId14"/>
      <w:footerReference w:type="default" r:id="rId15"/>
      <w:pgSz w:w="11906" w:h="16838"/>
      <w:pgMar w:top="567" w:right="1700" w:bottom="567" w:left="993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FB5" w:rsidRDefault="008C6FB5">
      <w:pPr>
        <w:spacing w:after="0" w:line="240" w:lineRule="auto"/>
      </w:pPr>
      <w:r>
        <w:separator/>
      </w:r>
    </w:p>
  </w:endnote>
  <w:endnote w:type="continuationSeparator" w:id="0">
    <w:p w:rsidR="008C6FB5" w:rsidRDefault="008C6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1E6E" w:rsidRPr="00CA1E6E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1E6E" w:rsidRPr="00CA1E6E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E4356" w:rsidRPr="00DE4356">
                            <w:rPr>
                              <w:rStyle w:val="Fejlcvagylbjegyzet"/>
                              <w:noProof/>
                            </w:rPr>
                            <w:t>8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E4356" w:rsidRPr="00DE4356">
                      <w:rPr>
                        <w:rStyle w:val="Fejlcvagylbjegyzet"/>
                        <w:noProof/>
                      </w:rPr>
                      <w:t>8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FB5" w:rsidRDefault="008C6FB5">
      <w:pPr>
        <w:spacing w:after="0" w:line="240" w:lineRule="auto"/>
      </w:pPr>
      <w:r>
        <w:separator/>
      </w:r>
    </w:p>
  </w:footnote>
  <w:footnote w:type="continuationSeparator" w:id="0">
    <w:p w:rsidR="008C6FB5" w:rsidRDefault="008C6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0C82209"/>
    <w:multiLevelType w:val="singleLevel"/>
    <w:tmpl w:val="A12A3B6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6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24"/>
  </w:num>
  <w:num w:numId="4">
    <w:abstractNumId w:val="23"/>
  </w:num>
  <w:num w:numId="5">
    <w:abstractNumId w:val="19"/>
  </w:num>
  <w:num w:numId="6">
    <w:abstractNumId w:val="4"/>
  </w:num>
  <w:num w:numId="7">
    <w:abstractNumId w:val="22"/>
  </w:num>
  <w:num w:numId="8">
    <w:abstractNumId w:val="18"/>
  </w:num>
  <w:num w:numId="9">
    <w:abstractNumId w:val="17"/>
  </w:num>
  <w:num w:numId="10">
    <w:abstractNumId w:val="5"/>
  </w:num>
  <w:num w:numId="11">
    <w:abstractNumId w:val="20"/>
  </w:num>
  <w:num w:numId="12">
    <w:abstractNumId w:val="21"/>
  </w:num>
  <w:num w:numId="13">
    <w:abstractNumId w:val="6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  <w:num w:numId="18">
    <w:abstractNumId w:val="14"/>
  </w:num>
  <w:num w:numId="19">
    <w:abstractNumId w:val="3"/>
  </w:num>
  <w:num w:numId="20">
    <w:abstractNumId w:val="9"/>
  </w:num>
  <w:num w:numId="21">
    <w:abstractNumId w:val="2"/>
  </w:num>
  <w:num w:numId="22">
    <w:abstractNumId w:val="1"/>
  </w:num>
  <w:num w:numId="23">
    <w:abstractNumId w:val="12"/>
  </w:num>
  <w:num w:numId="24">
    <w:abstractNumId w:val="0"/>
    <w:lvlOverride w:ilvl="0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42F0E"/>
    <w:rsid w:val="000616F9"/>
    <w:rsid w:val="000A6A6F"/>
    <w:rsid w:val="000D0335"/>
    <w:rsid w:val="000D649C"/>
    <w:rsid w:val="000D6A51"/>
    <w:rsid w:val="000E4C33"/>
    <w:rsid w:val="000E4F71"/>
    <w:rsid w:val="00103668"/>
    <w:rsid w:val="00114742"/>
    <w:rsid w:val="00115A22"/>
    <w:rsid w:val="001208A2"/>
    <w:rsid w:val="00125B4A"/>
    <w:rsid w:val="0012630F"/>
    <w:rsid w:val="00161756"/>
    <w:rsid w:val="001D325A"/>
    <w:rsid w:val="001E65BB"/>
    <w:rsid w:val="001E76DF"/>
    <w:rsid w:val="00201700"/>
    <w:rsid w:val="00234179"/>
    <w:rsid w:val="00234DBA"/>
    <w:rsid w:val="00235553"/>
    <w:rsid w:val="002526E6"/>
    <w:rsid w:val="002638B4"/>
    <w:rsid w:val="00266B81"/>
    <w:rsid w:val="00280BD2"/>
    <w:rsid w:val="002855C4"/>
    <w:rsid w:val="00286ED7"/>
    <w:rsid w:val="002E21D3"/>
    <w:rsid w:val="002F7D75"/>
    <w:rsid w:val="00301A81"/>
    <w:rsid w:val="00310304"/>
    <w:rsid w:val="00310773"/>
    <w:rsid w:val="0032489B"/>
    <w:rsid w:val="00360521"/>
    <w:rsid w:val="003645BA"/>
    <w:rsid w:val="003662AF"/>
    <w:rsid w:val="003A42D4"/>
    <w:rsid w:val="003D0E6C"/>
    <w:rsid w:val="003D0E6E"/>
    <w:rsid w:val="00404F27"/>
    <w:rsid w:val="00406C1D"/>
    <w:rsid w:val="0042039B"/>
    <w:rsid w:val="00431069"/>
    <w:rsid w:val="00431080"/>
    <w:rsid w:val="00440618"/>
    <w:rsid w:val="00443A9F"/>
    <w:rsid w:val="004511FD"/>
    <w:rsid w:val="0048471F"/>
    <w:rsid w:val="00486372"/>
    <w:rsid w:val="00486B41"/>
    <w:rsid w:val="00496168"/>
    <w:rsid w:val="00496318"/>
    <w:rsid w:val="004D45AF"/>
    <w:rsid w:val="004F2198"/>
    <w:rsid w:val="004F53C5"/>
    <w:rsid w:val="004F61E6"/>
    <w:rsid w:val="00506F93"/>
    <w:rsid w:val="005151BC"/>
    <w:rsid w:val="00550400"/>
    <w:rsid w:val="005537DE"/>
    <w:rsid w:val="0055579D"/>
    <w:rsid w:val="0056466D"/>
    <w:rsid w:val="00573956"/>
    <w:rsid w:val="005C3B28"/>
    <w:rsid w:val="005F785C"/>
    <w:rsid w:val="0061413D"/>
    <w:rsid w:val="006510C6"/>
    <w:rsid w:val="006604E9"/>
    <w:rsid w:val="006725A3"/>
    <w:rsid w:val="006761B6"/>
    <w:rsid w:val="006B0E68"/>
    <w:rsid w:val="006B3CAE"/>
    <w:rsid w:val="006B6415"/>
    <w:rsid w:val="006E2749"/>
    <w:rsid w:val="006E49C2"/>
    <w:rsid w:val="00707759"/>
    <w:rsid w:val="00707AAC"/>
    <w:rsid w:val="00725F68"/>
    <w:rsid w:val="00732C48"/>
    <w:rsid w:val="007561C1"/>
    <w:rsid w:val="0077433B"/>
    <w:rsid w:val="00781381"/>
    <w:rsid w:val="007820A9"/>
    <w:rsid w:val="007B19D7"/>
    <w:rsid w:val="007B21BF"/>
    <w:rsid w:val="007C1632"/>
    <w:rsid w:val="00801CE1"/>
    <w:rsid w:val="008141ED"/>
    <w:rsid w:val="00816B90"/>
    <w:rsid w:val="008363D5"/>
    <w:rsid w:val="00842D38"/>
    <w:rsid w:val="00850692"/>
    <w:rsid w:val="0086522B"/>
    <w:rsid w:val="008928D9"/>
    <w:rsid w:val="008A5527"/>
    <w:rsid w:val="008C5EAF"/>
    <w:rsid w:val="008C6FB5"/>
    <w:rsid w:val="008E2138"/>
    <w:rsid w:val="008E3A88"/>
    <w:rsid w:val="008F6EB5"/>
    <w:rsid w:val="0090736A"/>
    <w:rsid w:val="00910915"/>
    <w:rsid w:val="00940340"/>
    <w:rsid w:val="009423E6"/>
    <w:rsid w:val="00950A54"/>
    <w:rsid w:val="009749CF"/>
    <w:rsid w:val="0097733C"/>
    <w:rsid w:val="00993917"/>
    <w:rsid w:val="009A0220"/>
    <w:rsid w:val="009B4FA0"/>
    <w:rsid w:val="009C6EBA"/>
    <w:rsid w:val="009D2A2E"/>
    <w:rsid w:val="00A1355E"/>
    <w:rsid w:val="00A36507"/>
    <w:rsid w:val="00A62743"/>
    <w:rsid w:val="00A82B3B"/>
    <w:rsid w:val="00AA49DC"/>
    <w:rsid w:val="00AC69D2"/>
    <w:rsid w:val="00AD4DCA"/>
    <w:rsid w:val="00B27C4E"/>
    <w:rsid w:val="00B3274B"/>
    <w:rsid w:val="00B6673F"/>
    <w:rsid w:val="00B7530E"/>
    <w:rsid w:val="00B7637F"/>
    <w:rsid w:val="00B76DE6"/>
    <w:rsid w:val="00BB1F7A"/>
    <w:rsid w:val="00BC3CEB"/>
    <w:rsid w:val="00BD4EFA"/>
    <w:rsid w:val="00BF458C"/>
    <w:rsid w:val="00BF55E8"/>
    <w:rsid w:val="00C0701A"/>
    <w:rsid w:val="00C12E4E"/>
    <w:rsid w:val="00C15B41"/>
    <w:rsid w:val="00C21AE3"/>
    <w:rsid w:val="00C45568"/>
    <w:rsid w:val="00C47391"/>
    <w:rsid w:val="00C5534E"/>
    <w:rsid w:val="00C610AA"/>
    <w:rsid w:val="00C65A5A"/>
    <w:rsid w:val="00C83997"/>
    <w:rsid w:val="00CA109D"/>
    <w:rsid w:val="00CA1E6E"/>
    <w:rsid w:val="00CB0421"/>
    <w:rsid w:val="00CB1814"/>
    <w:rsid w:val="00CB40F1"/>
    <w:rsid w:val="00CC7A12"/>
    <w:rsid w:val="00CD3539"/>
    <w:rsid w:val="00D02018"/>
    <w:rsid w:val="00D0707B"/>
    <w:rsid w:val="00D201E2"/>
    <w:rsid w:val="00D22502"/>
    <w:rsid w:val="00D5068E"/>
    <w:rsid w:val="00D852DC"/>
    <w:rsid w:val="00DC02DD"/>
    <w:rsid w:val="00DD698C"/>
    <w:rsid w:val="00DE4356"/>
    <w:rsid w:val="00DE4938"/>
    <w:rsid w:val="00E07A54"/>
    <w:rsid w:val="00E20130"/>
    <w:rsid w:val="00E218BC"/>
    <w:rsid w:val="00E27F58"/>
    <w:rsid w:val="00E35C1F"/>
    <w:rsid w:val="00E672F3"/>
    <w:rsid w:val="00E71133"/>
    <w:rsid w:val="00E761B8"/>
    <w:rsid w:val="00EA3534"/>
    <w:rsid w:val="00EB733A"/>
    <w:rsid w:val="00EC59B5"/>
    <w:rsid w:val="00F01C12"/>
    <w:rsid w:val="00F10AF2"/>
    <w:rsid w:val="00F23518"/>
    <w:rsid w:val="00F26E5F"/>
    <w:rsid w:val="00F355CD"/>
    <w:rsid w:val="00F4545E"/>
    <w:rsid w:val="00FA07AA"/>
    <w:rsid w:val="00FB44F2"/>
    <w:rsid w:val="00FD69F4"/>
    <w:rsid w:val="00FD6A05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basedOn w:val="Norml"/>
    <w:uiPriority w:val="99"/>
    <w:qFormat/>
    <w:rsid w:val="003D0E6E"/>
    <w:pPr>
      <w:spacing w:after="0" w:line="240" w:lineRule="auto"/>
    </w:pPr>
    <w:rPr>
      <w:rFonts w:eastAsiaTheme="minorHAns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C1A56-C1D4-4838-BCE8-5DB90EAE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997</Words>
  <Characters>6884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3</cp:revision>
  <cp:lastPrinted>2020-06-10T07:37:00Z</cp:lastPrinted>
  <dcterms:created xsi:type="dcterms:W3CDTF">2020-06-11T11:29:00Z</dcterms:created>
  <dcterms:modified xsi:type="dcterms:W3CDTF">2020-06-19T09:05:00Z</dcterms:modified>
</cp:coreProperties>
</file>